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ÖNALIM DAVASINA CEVAP DİLEKÇESİ</w:t>
      </w:r>
    </w:p>
    <w:p>
      <w:pPr>
        <w:jc w:val="center"/>
      </w:pPr>
      <w:r>
        <w:rPr>
          <w:color w:val="214254"/>
          <w:sz w:val="22"/>
        </w:rPr>
        <w:t>(Fiili taksim ve hak düşürücü süre savunması)</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DAVALI</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DAVACI</w:t>
            </w:r>
          </w:p>
        </w:tc>
        <w:tc>
          <w:tcPr>
            <w:tcW w:type="dxa" w:w="6350"/>
          </w:tcPr>
          <w:p>
            <w:pPr>
              <w:spacing w:after="40"/>
            </w:pPr>
            <w:r>
              <w:t>........................ (T.C. Kimlik No: ........................), adres: ........................</w:t>
            </w:r>
          </w:p>
        </w:tc>
      </w:tr>
      <w:tr>
        <w:tc>
          <w:tcPr>
            <w:tcW w:type="dxa" w:w="3061"/>
          </w:tcPr>
          <w:p>
            <w:pPr>
              <w:spacing w:after="40"/>
            </w:pPr>
            <w:r>
              <w:rPr>
                <w:b/>
                <w:color w:val="214254"/>
              </w:rPr>
              <w:t>DOSYA NO</w:t>
            </w:r>
          </w:p>
        </w:tc>
        <w:tc>
          <w:tcPr>
            <w:tcW w:type="dxa" w:w="6350"/>
          </w:tcPr>
          <w:p>
            <w:pPr>
              <w:spacing w:after="40"/>
            </w:pPr>
            <w:r>
              <w:t>........................</w:t>
            </w:r>
          </w:p>
        </w:tc>
      </w:tr>
      <w:tr>
        <w:tc>
          <w:tcPr>
            <w:tcW w:type="dxa" w:w="3061"/>
          </w:tcPr>
          <w:p>
            <w:pPr>
              <w:spacing w:after="40"/>
            </w:pPr>
            <w:r>
              <w:rPr>
                <w:b/>
                <w:color w:val="214254"/>
              </w:rPr>
              <w:t>TAŞINMAZ</w:t>
            </w:r>
          </w:p>
        </w:tc>
        <w:tc>
          <w:tcPr>
            <w:tcW w:type="dxa" w:w="6350"/>
          </w:tcPr>
          <w:p>
            <w:pPr>
              <w:spacing w:after="40"/>
            </w:pPr>
            <w:r>
              <w:t>........................, ........................ ada ........................ parsel sayılı ........................ nitelikli taşınmaz</w:t>
            </w:r>
          </w:p>
        </w:tc>
      </w:tr>
      <w:tr>
        <w:tc>
          <w:tcPr>
            <w:tcW w:type="dxa" w:w="3061"/>
          </w:tcPr>
          <w:p>
            <w:pPr>
              <w:spacing w:after="40"/>
            </w:pPr>
            <w:r>
              <w:rPr>
                <w:b/>
                <w:color w:val="214254"/>
              </w:rPr>
              <w:t>PAY DURUMU</w:t>
            </w:r>
          </w:p>
        </w:tc>
        <w:tc>
          <w:tcPr>
            <w:tcW w:type="dxa" w:w="6350"/>
          </w:tcPr>
          <w:p>
            <w:pPr>
              <w:spacing w:after="40"/>
            </w:pPr>
            <w:r>
              <w:t>Başvuranın payı ........................, dava konusu satılan pay ........................</w:t>
            </w:r>
          </w:p>
        </w:tc>
      </w:tr>
      <w:tr>
        <w:tc>
          <w:tcPr>
            <w:tcW w:type="dxa" w:w="3061"/>
          </w:tcPr>
          <w:p>
            <w:pPr>
              <w:spacing w:after="40"/>
            </w:pPr>
            <w:r>
              <w:rPr>
                <w:b/>
                <w:color w:val="214254"/>
              </w:rPr>
              <w:t>SATIŞ</w:t>
            </w:r>
          </w:p>
        </w:tc>
        <w:tc>
          <w:tcPr>
            <w:tcW w:type="dxa" w:w="6350"/>
          </w:tcPr>
          <w:p>
            <w:pPr>
              <w:spacing w:after="40"/>
            </w:pPr>
            <w:r>
              <w:t>..... / ..... / 20..... tarihli ........................ yevmiye numaralı satış, tapuda gösterilen bedel ........................</w:t>
            </w:r>
          </w:p>
        </w:tc>
      </w:tr>
      <w:tr>
        <w:tc>
          <w:tcPr>
            <w:tcW w:type="dxa" w:w="3061"/>
          </w:tcPr>
          <w:p>
            <w:pPr>
              <w:spacing w:after="40"/>
            </w:pPr>
            <w:r>
              <w:rPr>
                <w:b/>
                <w:color w:val="214254"/>
              </w:rPr>
              <w:t>ÖĞRENME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Aleyhimize açılan önalım davasına karşı cevaplarımızın ve savunmalarımızın sunulmasıdır.</w:t>
            </w:r>
          </w:p>
        </w:tc>
      </w:tr>
    </w:tbl>
    <w:p>
      <w:pPr>
        <w:spacing w:after="160" w:before="200"/>
        <w:jc w:val="both"/>
      </w:pPr>
      <w:r>
        <w:t>1. ........................ sayılı dosyada tarafıma yöneltilen önalım davasını ve dayanaklarını kabul etmiyoruz. Dava, aşağıda açıklanan nedenlerle usul ve esas yönünden reddedilmelidir.</w:t>
      </w:r>
    </w:p>
    <w:p>
      <w:pPr>
        <w:spacing w:after="160"/>
        <w:jc w:val="both"/>
      </w:pPr>
      <w:r>
        <w:t>2. Dava konusu payın satışı davacıya ..... / ..... / 20..... tarihinde noter aracılığıyla bildirilmiştir. Türk Medeni Kanunu m. 733/4 uyarınca bildirimden itibaren işleyen üç aylık hak düşürücü süre, dava açılmadan önce dolmuştur.</w:t>
      </w:r>
    </w:p>
    <w:p>
      <w:pPr>
        <w:spacing w:after="160"/>
        <w:jc w:val="both"/>
      </w:pPr>
      <w:r>
        <w:t>3. Taşınmaz, paydaşlar arasında fiilen taksim edilmiştir. Her paydaş yıllardır kendi kullanımındaki bölümü bağımsız biçimde kullanmakta olup davacı da kendi bölümünde tasarrufa devam etmektedir. Fiili taksimin dayanakları şunlardır: ........................</w:t>
      </w:r>
    </w:p>
    <w:p>
      <w:pPr>
        <w:spacing w:after="160"/>
        <w:jc w:val="both"/>
      </w:pPr>
      <w:r>
        <w:t>4. Yerleşik yargısal uygulamaya göre fiili taksimin bulunduğu hallerde önalım hakkının kullanılması dürüstlük kuralına aykırılık oluşturur ve dava reddedilir. Somut olayda da davacının amacı payı edinmek değil, fiilen kullandığı bölümü büyütmektir.</w:t>
      </w:r>
    </w:p>
    <w:p>
      <w:pPr>
        <w:spacing w:after="160"/>
        <w:jc w:val="both"/>
      </w:pPr>
      <w:r>
        <w:t>5. Davacı, tapuda gösterilen satış bedeli ile tapu masraflarını mahkemenin verdiği süre içinde depo etmemiştir. Bedelin süresinde depo edilmemesi tek başına davanın reddini gerektirir.</w:t>
      </w:r>
    </w:p>
    <w:p>
      <w:pPr>
        <w:spacing w:after="160"/>
        <w:jc w:val="both"/>
      </w:pPr>
      <w:r>
        <w:t>6. Davacının payı, taşınmazın değeri ve kullanım durumu birlikte değerlendirildiğinde talebin dayanağı bulunmamaktadır. Tapu kaydı, keşif ve tanık beyanları ile fiili taksimin varlığı ortaya çıkacaktır.</w:t>
      </w:r>
    </w:p>
    <w:p>
      <w:pPr>
        <w:spacing w:after="160"/>
        <w:jc w:val="both"/>
      </w:pPr>
      <w:r>
        <w:rPr>
          <w:b/>
          <w:color w:val="214254"/>
        </w:rPr>
        <w:t xml:space="preserve">SONUÇ VE İSTEM: </w:t>
      </w:r>
      <w:r>
        <w:t>Yukarıda açıklanan nedenlerle; davanın öncelikle hak düşürücü sürenin geçmesi nedeniyle, kabul edilmediği takdirde fiili taksimin varlığı ve bedelin süresinde depo edilmemesi nedeniyle reddine, yargılama giderleri ile vekalet ücretinin davacıya yükletilmesine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Taşınmazın güncel tapu kayıt örneği ve pay durumu</w:t>
      </w:r>
    </w:p>
    <w:p>
      <w:pPr>
        <w:spacing w:after="40"/>
      </w:pPr>
      <w:r>
        <w:t>2. Tapu müdürlüğünden alınacak satış akit tablosu ve yevmiye kaydı</w:t>
      </w:r>
    </w:p>
    <w:p>
      <w:pPr>
        <w:spacing w:after="40"/>
      </w:pPr>
      <w:r>
        <w:t>3. Kadastro paftası ve çap örneği</w:t>
      </w:r>
    </w:p>
    <w:p>
      <w:pPr>
        <w:spacing w:after="40"/>
      </w:pPr>
      <w:r>
        <w:t>4. Kimlik fotokopisi</w:t>
      </w:r>
    </w:p>
    <w:p>
      <w:pPr>
        <w:spacing w:after="40"/>
      </w:pPr>
      <w:r>
        <w:t>5. Vekaletname (vekil ile takip halinde)</w:t>
      </w:r>
    </w:p>
    <w:p>
      <w:pPr>
        <w:spacing w:after="40"/>
      </w:pPr>
      <w:r>
        <w:t>6. Noter aracılığıyla yapılan bildirime ilişkin ihbarname ve tebliğ şerhi</w:t>
      </w:r>
    </w:p>
    <w:p>
      <w:pPr>
        <w:spacing w:after="40"/>
      </w:pPr>
      <w:r>
        <w:t>7. Fiili taksime ilişkin fotoğraf, çit ve yapı kayıtları, tarımsal destek belgeleri, tanık listesi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Önalım davasına cevap dilekçesi örneği</dc:title>
  <dc:subject>önalım dilekçesi örneği</dc:subject>
  <dc:creator>Av. Çağrı Ayboğa</dc:creator>
  <cp:keywords>önalım dilekçesi örneği, şufa davası dilekçesi, öne alım dilekçesi örneği, önalım hakkı TMK 732, Ankara gayrimenkul avukatı</cp:keywords>
  <dc:description>https://ayboga.av.tr/one-alim-dilekcesi-ornegi/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